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5978E" w14:textId="21D3DB48" w:rsidR="006C1DF8" w:rsidRPr="00455DB2" w:rsidRDefault="003447DC"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hAnsi="Times New Roman" w:cs="Times New Roman"/>
          <w:b/>
          <w:bCs/>
          <w:sz w:val="26"/>
          <w:szCs w:val="26"/>
          <w:lang w:val="nl-NL" w:eastAsia="x-none"/>
        </w:rPr>
      </w:pPr>
      <w:r w:rsidRPr="00455DB2">
        <w:rPr>
          <w:rFonts w:ascii="Times New Roman" w:hAnsi="Times New Roman" w:cs="Times New Roman"/>
          <w:b/>
          <w:bCs/>
          <w:sz w:val="26"/>
          <w:szCs w:val="26"/>
          <w:lang w:val="nl-NL" w:eastAsia="x-none"/>
        </w:rPr>
        <w:t>TOE</w:t>
      </w:r>
      <w:r w:rsidR="00FB6701" w:rsidRPr="00455DB2">
        <w:rPr>
          <w:rFonts w:ascii="Times New Roman" w:hAnsi="Times New Roman" w:cs="Times New Roman"/>
          <w:b/>
          <w:bCs/>
          <w:sz w:val="26"/>
          <w:szCs w:val="26"/>
          <w:lang w:val="nl-NL" w:eastAsia="x-none"/>
        </w:rPr>
        <w:t>LICHTING OVER RECHTEN EN PLICHTEN</w:t>
      </w:r>
    </w:p>
    <w:p w14:paraId="6F6EAE67" w14:textId="77777777" w:rsidR="00FB6701" w:rsidRPr="00455DB2" w:rsidRDefault="00FB6701"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hAnsi="Times New Roman" w:cs="Times New Roman"/>
          <w:b/>
          <w:bCs/>
          <w:sz w:val="4"/>
          <w:szCs w:val="4"/>
          <w:lang w:val="nl-NL" w:eastAsia="x-none"/>
        </w:rPr>
      </w:pPr>
    </w:p>
    <w:p w14:paraId="0673FA42" w14:textId="19D8B137" w:rsidR="006C1DF8" w:rsidRPr="00455DB2"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hAnsi="Times New Roman" w:cs="Times New Roman"/>
          <w:b/>
          <w:bCs/>
          <w:sz w:val="6"/>
          <w:szCs w:val="6"/>
          <w:lang w:val="nl-NL" w:eastAsia="x-none"/>
        </w:rPr>
      </w:pPr>
    </w:p>
    <w:p w14:paraId="29135589" w14:textId="77777777" w:rsidR="00FB6701" w:rsidRPr="00455DB2" w:rsidRDefault="00FB6701"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hAnsi="Times New Roman" w:cs="Times New Roman"/>
          <w:b/>
          <w:bCs/>
          <w:sz w:val="6"/>
          <w:szCs w:val="6"/>
          <w:lang w:val="nl-NL" w:eastAsia="x-none"/>
        </w:rPr>
      </w:pPr>
    </w:p>
    <w:p w14:paraId="3791CAFB" w14:textId="65C53857" w:rsidR="00FB6701" w:rsidRPr="00455DB2" w:rsidRDefault="00FB6701" w:rsidP="00FB6701">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b/>
          <w:bCs/>
          <w:sz w:val="20"/>
          <w:szCs w:val="20"/>
          <w:lang w:val="nl-NL" w:eastAsia="x-none"/>
        </w:rPr>
      </w:pPr>
      <w:r w:rsidRPr="00455DB2">
        <w:rPr>
          <w:rFonts w:ascii="Times New Roman" w:hAnsi="Times New Roman" w:cs="Times New Roman"/>
          <w:b/>
          <w:bCs/>
          <w:sz w:val="20"/>
          <w:szCs w:val="20"/>
          <w:lang w:val="nl-NL" w:eastAsia="x-none"/>
        </w:rPr>
        <w:t>De verdachte heeft de volgende rechten en plichten:</w:t>
      </w:r>
    </w:p>
    <w:p w14:paraId="5A0F5E0F" w14:textId="77777777" w:rsidR="00FB6701" w:rsidRPr="00455DB2" w:rsidRDefault="00FB6701" w:rsidP="00FB6701">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sz w:val="20"/>
          <w:szCs w:val="20"/>
          <w:lang w:val="nl-NL" w:eastAsia="x-none"/>
        </w:rPr>
      </w:pPr>
    </w:p>
    <w:p w14:paraId="2EA9668A" w14:textId="39CB4766" w:rsidR="00FB6701" w:rsidRPr="00455DB2" w:rsidRDefault="00FB6701"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nl-NL" w:eastAsia="x-none"/>
        </w:rPr>
      </w:pPr>
      <w:r w:rsidRPr="00455DB2">
        <w:rPr>
          <w:rFonts w:ascii="Times New Roman" w:hAnsi="Times New Roman" w:cs="Times New Roman"/>
          <w:sz w:val="20"/>
          <w:szCs w:val="20"/>
          <w:lang w:val="nl-NL" w:eastAsia="x-none"/>
        </w:rPr>
        <w:t xml:space="preserve">    Het recht om verklaringen af te leggen, te weigeren verklaringen af te leggen of te weigeren bepaalde vragen te beantwoorden, zonder dat daarvoor een reden hoeft te worden opgegeven (art. 175, § 1) 2).</w:t>
      </w:r>
    </w:p>
    <w:p w14:paraId="3BACD4FA" w14:textId="2B8DA02E" w:rsidR="00196347" w:rsidRPr="00455DB2" w:rsidRDefault="00FB6701" w:rsidP="00AB4615">
      <w:pPr>
        <w:numPr>
          <w:ilvl w:val="0"/>
          <w:numId w:val="3"/>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eastAsia="Times New Roman" w:hAnsi="Times New Roman" w:cs="Times New Roman"/>
          <w:sz w:val="20"/>
          <w:szCs w:val="20"/>
          <w:lang w:val="nl-NL" w:eastAsia="x-none"/>
        </w:rPr>
      </w:pPr>
      <w:r w:rsidRPr="00455DB2">
        <w:rPr>
          <w:rFonts w:ascii="Times New Roman" w:hAnsi="Times New Roman" w:cs="Times New Roman"/>
          <w:color w:val="000000"/>
          <w:sz w:val="20"/>
          <w:szCs w:val="20"/>
          <w:lang w:val="nl-NL" w:eastAsia="x-none"/>
        </w:rPr>
        <w:t xml:space="preserve"> Het recht op bijstand van een zelfgekozen verdediger. Indien de verdachte aantoont dat hij niet in staat is de kosten van een door hem gekozen verdediger te dragen zonder dat dit ten koste gaat van het noodzakelijke levensonderhoud voor zichzelf en zijn gezin, kan de rechtbank hem een pro-Deoadvocaat toewijzen. Het verzoek om toewijzing van een pro-Deoadvocaat dient binnen 7 dagen na ontvangst van een afschrift van de tenlastelegging bij de rechtbank te worden ingediend. Bij het verzoek moeten bewijsstukken worden gevoegd waaruit blijkt dat de verdachte de kosten van de verdediging niet kan dragen zonder dat dit ten koste gaat van het noodzakelijke levensonderhoud van zichzelf en zijn gezin. Indien het te laat indienen van het verzoek zou leiden tot de noodzaak om de datum van de rechtszitting of de zitting inzake de voorwaardelijke seponering van de procedure en het verzoek tot veroordeling zonder rechtszitting te wijzigen, zal het verzoek onmiddellijk na de datum van de rechtszitting of de zitting worden behandeld. Dit geldt ook voor gevallen waarin het verzoek weliswaar tijdig is ingediend, maar niet aan de vormvereisten voldoet of niet vergezeld gaat van bewijsstukken waaruit blijkt dat de verdachte niet in staat is de kosten van de verdediging te dragen zonder dat dit ten koste gaat van het noodzakelijke levensonderhoud van zichzelf en zijn gezin. Na de eerste zittingsdatum of de aangegeven vergaderingen moet het verzoek om toewijzing van een pro-Deoadvocaat bij de rechtbank worden ingediend binnen een termijn die zo is gekozen dat de behandeling ervan geen wijziging van de volgende rechtszitting of zitting noodzakelijk maakt. Afhankelijk van de uitkomst van het proces kunnen de kosten voor de aanwijzing van een pro-Deoadvocaat ten laste van de verdachte worden gelegd. Een verdachte die geen zelfgekozen advocaat heeft, krijgt verplicht een pro-Deoadvocaat toegewezen indien: hij jonger is dan 18 jaar; hij doof, stom of blind is; er gegronde twijfel bestaat of zijn vermogen om de betekenis van de daad te begrijpen of zijn gedrag te sturen op het moment van het plegen van de daad was uitgeschakeld of aanzienlijk beperkt; er gegronde twijfel bestaat of zijn geestelijke gezondheidstoestand het mogelijk maakt om aan de procedure deel te nemen of zijn verdediging op zelfstandige en redelijke wijze te voeren. De verdachte moet ook een verdediger hebben wanneer de rechtbank dit noodzakelijk acht vanwege andere omstandigheden die de verdediging bemoeilijken, en in de procedure voor de districtsrechtbank, indien hem een misdrijf ten laste wordt gelegd (art. 6, art. 78 § 1, art. 79 § 1 en § 2, art. 80 eerste zin, art. 81 § 1, art. 338 § 1a, art. 338b).</w:t>
      </w:r>
    </w:p>
    <w:p w14:paraId="0F9D2918" w14:textId="0D1ECEF1" w:rsidR="006C1DF8" w:rsidRPr="00455DB2" w:rsidRDefault="005467E7"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nl-NL" w:eastAsia="x-none"/>
        </w:rPr>
      </w:pPr>
      <w:r w:rsidRPr="00455DB2">
        <w:rPr>
          <w:rFonts w:ascii="Times New Roman" w:hAnsi="Times New Roman" w:cs="Times New Roman"/>
          <w:sz w:val="20"/>
          <w:szCs w:val="20"/>
          <w:lang w:val="nl-NL" w:eastAsia="x-none"/>
        </w:rPr>
        <w:t xml:space="preserve">   Het recht om schriftelijk op de tenlastelegging te reageren. De verdachte heeft dit recht binnen zeven dagen na betekening van de tenlastelegging (art. 338, lid 2).</w:t>
      </w:r>
      <w:r w:rsidR="006C1DF8" w:rsidRPr="00455DB2">
        <w:rPr>
          <w:rFonts w:ascii="Times New Roman" w:hAnsi="Times New Roman" w:cs="Times New Roman"/>
          <w:color w:val="000000"/>
          <w:sz w:val="20"/>
          <w:szCs w:val="20"/>
          <w:lang w:val="nl-NL" w:eastAsia="x-none"/>
        </w:rPr>
        <w:t>Prawo do udzia</w:t>
      </w:r>
      <w:r w:rsidR="006C1DF8" w:rsidRPr="00455DB2">
        <w:rPr>
          <w:rFonts w:ascii="Times New Roman" w:eastAsia="Times New Roman" w:hAnsi="Times New Roman" w:cs="Times New Roman"/>
          <w:color w:val="000000"/>
          <w:sz w:val="20"/>
          <w:szCs w:val="20"/>
          <w:lang w:val="nl-NL" w:eastAsia="x-none"/>
        </w:rPr>
        <w:t>łu w posiedzeniu w przedmiocie warunkowego umorzenia postępowania, jeśli oskarżony nie został zobowiązany do udziału w tym posiedzeniu (art. 341 § 1).</w:t>
      </w:r>
    </w:p>
    <w:p w14:paraId="3180BCC8" w14:textId="77777777" w:rsidR="005467E7" w:rsidRPr="00455DB2" w:rsidRDefault="005467E7"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nl-NL" w:eastAsia="x-none"/>
        </w:rPr>
      </w:pPr>
      <w:r w:rsidRPr="00455DB2">
        <w:rPr>
          <w:rFonts w:ascii="Times New Roman" w:hAnsi="Times New Roman" w:cs="Times New Roman"/>
          <w:color w:val="000000"/>
          <w:sz w:val="20"/>
          <w:szCs w:val="20"/>
          <w:lang w:val="nl-NL" w:eastAsia="x-none"/>
        </w:rPr>
        <w:t xml:space="preserve">    Het recht om een verzoek in te dienen om naar de zitting te worden gebracht, indien de verdachte in hechtenis zit en zijn aanwezigheid bij de zitting niet verplicht is. Het verzoek moet binnen zeven dagen na de datum van betekening van de kennisgeving worden ingediend (art. 353, lid 3).</w:t>
      </w:r>
    </w:p>
    <w:p w14:paraId="2CA3E33A" w14:textId="77777777" w:rsidR="005467E7" w:rsidRPr="00455DB2" w:rsidRDefault="005467E7" w:rsidP="00AB4615">
      <w:pPr>
        <w:numPr>
          <w:ilvl w:val="0"/>
          <w:numId w:val="3"/>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nl-NL" w:eastAsia="x-none"/>
        </w:rPr>
      </w:pPr>
      <w:r w:rsidRPr="00455DB2">
        <w:rPr>
          <w:rFonts w:ascii="Times New Roman" w:hAnsi="Times New Roman" w:cs="Times New Roman"/>
          <w:color w:val="000000"/>
          <w:sz w:val="20"/>
          <w:szCs w:val="20"/>
          <w:lang w:val="nl-NL" w:eastAsia="x-none"/>
        </w:rPr>
        <w:t xml:space="preserve">    Het recht om een verzoek in te dienen tot het uitspreken van een veroordeling en het opleggen van een bepaalde straf of een bepaalde strafmaatregel, tot het uitspreken van verbeurdverklaring of een compensatiemaatregel, zonder dat er een bewijsvoering plaatsvindt of een specifieke beslissing wordt genomen over de proceskosten. De verdachte kan van dit recht gebruikmaken vóór de betekening van de dagvaarding (art. 338a).</w:t>
      </w:r>
    </w:p>
    <w:p w14:paraId="3EC7897C" w14:textId="77777777" w:rsidR="005467E7" w:rsidRPr="00455DB2" w:rsidRDefault="005467E7"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nl-NL" w:eastAsia="x-none"/>
        </w:rPr>
      </w:pPr>
      <w:r w:rsidRPr="00455DB2">
        <w:rPr>
          <w:rFonts w:ascii="Times New Roman" w:hAnsi="Times New Roman" w:cs="Times New Roman"/>
          <w:sz w:val="20"/>
          <w:szCs w:val="20"/>
          <w:lang w:val="nl-NL" w:eastAsia="x-none"/>
        </w:rPr>
        <w:t xml:space="preserve">  Het recht om de zitting bij te wonen, indien de rechtbank de aanwezigheid van de verdachte niet als verplicht beschouwt. In strafzaken is de aanwezigheid van de verdachte verplicht tijdens de voorlezing van de tenlastelegging, het antwoord op de tenlastelegging (indien ingediend), de voorlichting over rechten en plichten en de vraag of de verdachte de hem ten laste gelegde feiten bekent. De voorzitter kan een beschikking geven om te voorkomen dat de verdachte de rechtbank verlaat voordat de zitting is beëindigd (art. 374). De zitting vindt niet plaats indien de verdachte niet verschijnt en er geen bewijs is dat hij daarvan in kennis is gesteld, en indien er een gegronde vermoeden bestaat dat het niet verschijnen het gevolg is van overmacht of andere uitzonderlijke omstandigheden. De zitting kan ook niet plaatsvinden wanneer de verdachte zijn afwezigheid naar behoren rechtvaardigt en verzoekt om de handelingen niet in zijn afwezigheid te verrichten (art. 117 § 2). Om het niet verschijnen wegens ziekte te rechtvaardigen van een verdachte wiens aanwezigheid verplicht was of die om toelating tot de handelingen heeft verzocht, terwijl hij gerechtigd was daaraan deel te nemen, moet een verklaring worden overgelegd waarin wordt bevestigd dat hij niet in staat was te verschijnen op de oproep van de instantie die de procedure voert, afgegeven door een gerechtsarts (art. 117 § 2a). In geval van ongerechtvaardigd verzuim van de verdachte, wiens aanwezigheid verplicht is, wordt zijn onmiddellijke aanhouding en voorleiding gelast (art. 382). Het niet verschijnen van de verdachte, die naar behoren in kennis is gesteld van de proceshandeling, ongeacht de reden daarvoor, staat de uitvoering van die handeling niet in de weg indien zijn verdediger is verschenen, voor zover de aanwezigheid van de verdachte niet verplicht was (art. 117 § 3a).</w:t>
      </w:r>
    </w:p>
    <w:p w14:paraId="6C6439E2" w14:textId="77777777" w:rsidR="005467E7" w:rsidRPr="00455DB2" w:rsidRDefault="005467E7"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nl-NL" w:eastAsia="x-none"/>
        </w:rPr>
      </w:pPr>
      <w:r w:rsidRPr="00455DB2">
        <w:rPr>
          <w:rFonts w:ascii="Times New Roman" w:hAnsi="Times New Roman" w:cs="Times New Roman"/>
          <w:color w:val="000000"/>
          <w:sz w:val="20"/>
          <w:szCs w:val="20"/>
          <w:lang w:val="nl-NL" w:eastAsia="x-none"/>
        </w:rPr>
        <w:lastRenderedPageBreak/>
        <w:t xml:space="preserve">   Het recht op kosteloze bijstand van een tolk indien hij de Poolse taal onvoldoende beheerst (art. 72, lid 1).</w:t>
      </w:r>
    </w:p>
    <w:p w14:paraId="2DAFC7BD" w14:textId="77777777" w:rsidR="00645F70" w:rsidRPr="00455DB2" w:rsidRDefault="005467E7" w:rsidP="00AB4615">
      <w:pPr>
        <w:numPr>
          <w:ilvl w:val="0"/>
          <w:numId w:val="2"/>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hAnsi="Times New Roman" w:cs="Times New Roman"/>
          <w:color w:val="000000"/>
          <w:sz w:val="20"/>
          <w:szCs w:val="20"/>
          <w:lang w:val="nl-NL" w:eastAsia="x-none"/>
        </w:rPr>
      </w:pPr>
      <w:r w:rsidRPr="00455DB2">
        <w:rPr>
          <w:rFonts w:ascii="Times New Roman" w:hAnsi="Times New Roman" w:cs="Times New Roman"/>
          <w:color w:val="000000"/>
          <w:sz w:val="20"/>
          <w:szCs w:val="20"/>
          <w:lang w:val="nl-NL" w:eastAsia="x-none"/>
        </w:rPr>
        <w:t xml:space="preserve">    Het recht om een verzoek in te dienen tot het uitspreken van een veroordeling en het opleggen van een bepaalde straf of strafmaatregel, het bevelen van verbeurdverklaring of een compensatiemaatregel zonder bewijsvoering, of het nemen van een bepaalde beslissing inzake de proceskosten. De rechtbank kan het verzoek om een veroordeling in te willigen wanneer er geen twijfel bestaat over de omstandigheden van het misdrijf en de schuld, en de doelstellingen van de procedure worden bereikt ondanks het feit dat de zitting niet volledig wordt gehouden; het verzoek kan alleen worden ingewilligd indien de officier van justitie zich hiertegen niet verzet en de benadeelde naar behoren in kennis is gesteld van de datum van de zitting en is geïnformeerd over de mogelijkheid dat de verdachte een dergelijk verzoek indient. De rechtbank kan de inwilliging van het verzoek van de verdachte afhankelijk stellen van het aanbrengen van een door haar aangegeven wijziging daarin. In zaken betreffende ernstige misdrijven kan strafvermindering alleen plaatsvinden indien het verzoek is ingediend vóór de betekening aan de verdachte van de kennisgeving van de datum van de zitting. Een verzoek om een veroordeling uit te spreken en een bepaalde straf of strafmaatregel op te leggen, een beslissing tot verbeurdverklaring of een compensatiemaatregel zonder bewijsvoering, of een bepaalde beslissing over de proceskosten, kan worden ingediend tot het moment waarop de eerste verhoor van alle verdachten is afgerond (art. 387 § 1, eerste en tweede zin, § 2 en § 3).</w:t>
      </w:r>
    </w:p>
    <w:p w14:paraId="0D5DF60B" w14:textId="77777777" w:rsidR="004652CD" w:rsidRPr="00455DB2" w:rsidRDefault="004652CD" w:rsidP="00AB4615">
      <w:pPr>
        <w:numPr>
          <w:ilvl w:val="0"/>
          <w:numId w:val="3"/>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hAnsi="Times New Roman" w:cs="Times New Roman"/>
          <w:color w:val="000000"/>
          <w:sz w:val="20"/>
          <w:szCs w:val="20"/>
          <w:lang w:val="nl-NL" w:eastAsia="x-none"/>
        </w:rPr>
      </w:pPr>
      <w:r w:rsidRPr="00455DB2">
        <w:rPr>
          <w:rFonts w:ascii="Times New Roman" w:hAnsi="Times New Roman" w:cs="Times New Roman"/>
          <w:color w:val="000000"/>
          <w:sz w:val="20"/>
          <w:szCs w:val="20"/>
          <w:lang w:val="nl-NL" w:eastAsia="x-none"/>
        </w:rPr>
        <w:t xml:space="preserve">     Het recht om een verzoek in te dienen om de zaak naar bemiddeling te verwijzen met het oog op verzoening met het slachtoffer (art. 23a). Deelname aan bemiddeling is vrijwillig. Positieve resultaten van bemiddeling worden door de rechtbank in aanmerking genomen bij het vaststellen van de straf (art. 53 § 3 van de wet van 6 juni 1997 – Strafwetboek, Staatsblad van 2018, nr. 1600, met latere wijzigingen). Recht op inzage in het dossier en op het maken van afschriften en kopieën (art. 156 § 1-3).</w:t>
      </w:r>
    </w:p>
    <w:p w14:paraId="6A4070FF" w14:textId="418CDBA0" w:rsidR="004652CD" w:rsidRPr="00455DB2" w:rsidRDefault="004652CD" w:rsidP="00AB4615">
      <w:pPr>
        <w:widowControl w:val="0"/>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hAnsi="Times New Roman" w:cs="Times New Roman"/>
          <w:sz w:val="20"/>
          <w:szCs w:val="20"/>
          <w:lang w:val="nl-NL" w:eastAsia="x-none"/>
        </w:rPr>
      </w:pPr>
      <w:r w:rsidRPr="00455DB2">
        <w:rPr>
          <w:rFonts w:ascii="Times New Roman" w:hAnsi="Times New Roman" w:cs="Times New Roman"/>
          <w:sz w:val="20"/>
          <w:szCs w:val="20"/>
          <w:lang w:val="nl-NL" w:eastAsia="x-none"/>
        </w:rPr>
        <w:t>Het recht om binnen zeven dagen na de uitspraak van het vonnis een verzoek in te dienen om de motivering van het vonnis schriftelijk op te stellen en te doen toekomen. Het feit dat de motivering ambtshalve wordt opgesteld, ontslaat de betrokkene niet van de verplichting om een verzoek tot toezending van de motivering in te dienen. Het verzoek dient schriftelijk te worden ingediend. In het verzoek moet worden aangegeven of het betrekking heeft op het gehele vonnis, op bepaalde ten laste gelegde feiten, of uitsluitend op de strafmaat en andere rechtsgevolgen van het feit. Voor een verdachte die in hechtenis zit, geen verdediger heeft en – ondanks het indienen van een verzoek om hem naar de zitting te brengen waarop het vonnis werd uitgesproken – niet aanwezig was bij de uitspraak van het vonnis, begint de termijn voor het indienen van een verzoek om het opstellen van een schriftelijke motivering en de toezending daarvan te lopen vanaf de datum waarop het vonnis aan hem is betekend. Een verzoek dat is ingediend door een onbevoegde persoon, te laat of indien de ontbrekende gegevens niet tijdig zijn aangevuld (art. 422 § 1-3).</w:t>
      </w:r>
    </w:p>
    <w:p w14:paraId="366AE67E" w14:textId="77777777" w:rsidR="001D212C" w:rsidRPr="00455DB2" w:rsidRDefault="001D212C" w:rsidP="001D212C">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nl-NL" w:eastAsia="x-none"/>
        </w:rPr>
      </w:pPr>
      <w:r w:rsidRPr="00455DB2">
        <w:rPr>
          <w:rFonts w:ascii="Times New Roman" w:hAnsi="Times New Roman" w:cs="Times New Roman"/>
          <w:b/>
          <w:bCs/>
          <w:color w:val="000000"/>
          <w:sz w:val="20"/>
          <w:szCs w:val="20"/>
          <w:lang w:val="nl-NL" w:eastAsia="x-none"/>
        </w:rPr>
        <w:t>Een strafrechtelijke procedure kan worden gevoerd zonder de verdachte, wiens aanwezigheid verplicht is, wanneer de verdachte:</w:t>
      </w:r>
    </w:p>
    <w:p w14:paraId="6910DA1E" w14:textId="77777777" w:rsidR="001D212C" w:rsidRPr="00455DB2" w:rsidRDefault="001D212C"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nl-NL" w:eastAsia="x-none"/>
        </w:rPr>
      </w:pPr>
      <w:r w:rsidRPr="00455DB2">
        <w:rPr>
          <w:rFonts w:ascii="Times New Roman" w:hAnsi="Times New Roman" w:cs="Times New Roman"/>
          <w:color w:val="000000"/>
          <w:sz w:val="20"/>
          <w:szCs w:val="20"/>
          <w:lang w:val="nl-NL" w:eastAsia="x-none"/>
        </w:rPr>
        <w:t>door zijn eigen schuld niet in staat is om aan de rechtszitting of de zitting deel te nemen; het feit dat de verdachte tot dusver geen verklaring heeft afgelegd, vormt geen belemmering voor het verloop van de procedure; alvorens hierover een beslissing te nemen, neemt de rechtbank kennis van het rapport van de arts die deze ongeschiktheid heeft vastgesteld, of verhoort deze als deskundige. De toestand die de verdachte ongeschikt maakt om aan de rechtszitting deel te nemen, kan ook worden vastgesteld op basis van een onderzoek dat geen inbreuk maakt op de lichamelijke integriteit en dat met behulp van een geschikt apparaat wordt uitgevoerd (art. 377 § 1 en § 2);</w:t>
      </w:r>
    </w:p>
    <w:p w14:paraId="59FF3770" w14:textId="701C8CA3" w:rsidR="0074625F" w:rsidRPr="00455DB2" w:rsidRDefault="0074625F"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nl-NL" w:eastAsia="x-none"/>
        </w:rPr>
      </w:pPr>
      <w:r w:rsidRPr="00455DB2">
        <w:rPr>
          <w:rFonts w:ascii="Times New Roman" w:eastAsia="Times New Roman" w:hAnsi="Times New Roman" w:cs="Times New Roman"/>
          <w:color w:val="000000"/>
          <w:sz w:val="20"/>
          <w:szCs w:val="20"/>
          <w:lang w:val="nl-NL" w:eastAsia="x-none"/>
        </w:rPr>
        <w:t>na correcte kennisgeving van de datum van de zitting of vergadering verklaart dat hij niet aan de zitting of vergadering zal deelnemen, waardoor het onmogelijk is hem naar de zitting of vergadering te brengen, of na persoonlijke kennisgeving   van de zitting of vergadering zonder geldige reden niet op de zitting of vergadering verschijnt; de rechtbank kan in dit geval echter de aanhouding en gedwongen voorleiding van de verdachte gelasten (art. 377 § 3);</w:t>
      </w:r>
    </w:p>
    <w:p w14:paraId="26BF2CB0" w14:textId="29D51176" w:rsidR="00935512" w:rsidRPr="00455DB2" w:rsidRDefault="0074625F"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nl-NL" w:eastAsia="x-none"/>
        </w:rPr>
      </w:pPr>
      <w:r w:rsidRPr="00455DB2">
        <w:rPr>
          <w:rFonts w:ascii="Times New Roman" w:eastAsia="Times New Roman" w:hAnsi="Times New Roman" w:cs="Times New Roman"/>
          <w:color w:val="000000"/>
          <w:sz w:val="20"/>
          <w:szCs w:val="20"/>
          <w:lang w:val="nl-NL" w:eastAsia="x-none"/>
        </w:rPr>
        <w:t xml:space="preserve">   reeds verklaringen heeft afgelegd en de rechtszaal heeft verlaten zonder toestemming van de voorzitter, tenzij de rechtbank zijn aanwezigheid als verplicht heeft beschouwd en niet heeft bevolen hem aan te houden en onder dwang te laten verschijnen (art. 376, § 1, eerste en tweede zin);</w:t>
      </w:r>
    </w:p>
    <w:p w14:paraId="1A3E4502" w14:textId="5A9CB4D8" w:rsidR="00935512" w:rsidRPr="00455DB2" w:rsidRDefault="00935512" w:rsidP="00935512">
      <w:p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color w:val="000000"/>
          <w:sz w:val="20"/>
          <w:szCs w:val="20"/>
          <w:lang w:val="nl-NL" w:eastAsia="x-none"/>
        </w:rPr>
      </w:pPr>
      <w:r w:rsidRPr="00455DB2">
        <w:rPr>
          <w:rFonts w:ascii="Times New Roman" w:eastAsia="Times New Roman" w:hAnsi="Times New Roman" w:cs="Times New Roman"/>
          <w:color w:val="000000"/>
          <w:sz w:val="20"/>
          <w:szCs w:val="20"/>
          <w:lang w:val="nl-NL" w:eastAsia="x-none"/>
        </w:rPr>
        <w:t>4)  de medeverdachte, die in kennis is gesteld van de datum van de uitgestelde of onderbroken zitting, zonder geldige reden niet op die zitting is verschenen, tenzij de rechtbank zijn aanwezigheid als verplicht heeft aangemerkt en niet heeft bevolen hem aan te houden en onder dwang voor te leiden (art. 376, § 2).</w:t>
      </w:r>
    </w:p>
    <w:p w14:paraId="61EA1CBD" w14:textId="77777777" w:rsidR="00935512" w:rsidRPr="00455DB2" w:rsidRDefault="00935512" w:rsidP="00935512">
      <w:p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color w:val="000000"/>
          <w:sz w:val="20"/>
          <w:szCs w:val="20"/>
          <w:lang w:val="nl-NL" w:eastAsia="x-none"/>
        </w:rPr>
      </w:pPr>
      <w:r w:rsidRPr="00455DB2">
        <w:rPr>
          <w:rFonts w:ascii="Times New Roman" w:eastAsia="Times New Roman" w:hAnsi="Times New Roman" w:cs="Times New Roman"/>
          <w:color w:val="000000"/>
          <w:sz w:val="20"/>
          <w:szCs w:val="20"/>
          <w:lang w:val="nl-NL" w:eastAsia="x-none"/>
        </w:rPr>
        <w:t>Indien een medeverdachte die zijn afwezigheid heeft gerechtvaardigd niet is verschenen op de uitgestelde of geschorste zitting, kan de rechtbank de zitting voortzetten voor zover deze niet rechtstreeks betrekking heeft op de afwezige verdachte, mits dit zijn recht op verdediging niet beperkt (art. 376 § 3).</w:t>
      </w:r>
    </w:p>
    <w:p w14:paraId="76CBED08" w14:textId="5E51111D" w:rsidR="0081381F" w:rsidRPr="00455DB2" w:rsidRDefault="00935512" w:rsidP="00935512">
      <w:p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color w:val="000000"/>
          <w:sz w:val="20"/>
          <w:szCs w:val="20"/>
          <w:lang w:val="nl-NL" w:eastAsia="x-none"/>
        </w:rPr>
      </w:pPr>
      <w:r w:rsidRPr="00455DB2">
        <w:rPr>
          <w:rFonts w:ascii="Times New Roman" w:eastAsia="Times New Roman" w:hAnsi="Times New Roman" w:cs="Times New Roman"/>
          <w:color w:val="000000"/>
          <w:sz w:val="20"/>
          <w:szCs w:val="20"/>
          <w:lang w:val="nl-NL" w:eastAsia="x-none"/>
        </w:rPr>
        <w:t>Een verdachte die nog geen verklaring voor de rechtbank heeft afgelegd, kan worden verhoord door een aangewezen rechter of door de rechtbank in het rechtsgebied waar hij zich bevindt, indien hij niet is verschenen wegens belemmeringen die te moeilijk te verhelpen zijn; de rechtbank kan het ook voldoende achten om de eerder door de verdachte afgelegde verklaringen voor te lezen. Het verhoor van de verdachte kan plaatsvinden via videoconferentie (art. 377 § 4)</w:t>
      </w:r>
      <w:r w:rsidR="00455DB2">
        <w:rPr>
          <w:rFonts w:ascii="Times New Roman" w:eastAsia="Times New Roman" w:hAnsi="Times New Roman" w:cs="Times New Roman"/>
          <w:color w:val="000000"/>
          <w:sz w:val="20"/>
          <w:szCs w:val="20"/>
          <w:lang w:val="nl-NL" w:eastAsia="x-none"/>
        </w:rPr>
        <w:t>.</w:t>
      </w:r>
    </w:p>
    <w:p w14:paraId="69598261" w14:textId="1369FE04" w:rsidR="0081381F" w:rsidRPr="00455DB2" w:rsidRDefault="0081381F" w:rsidP="0081381F">
      <w:p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hAnsi="Times New Roman" w:cs="Times New Roman"/>
          <w:b/>
          <w:bCs/>
          <w:color w:val="000000"/>
          <w:sz w:val="20"/>
          <w:szCs w:val="20"/>
          <w:lang w:val="nl-NL" w:eastAsia="x-none"/>
        </w:rPr>
      </w:pPr>
      <w:r w:rsidRPr="00455DB2">
        <w:rPr>
          <w:rFonts w:ascii="Times New Roman" w:hAnsi="Times New Roman" w:cs="Times New Roman"/>
          <w:b/>
          <w:bCs/>
          <w:color w:val="000000"/>
          <w:sz w:val="20"/>
          <w:szCs w:val="20"/>
          <w:lang w:val="nl-NL" w:eastAsia="x-none"/>
        </w:rPr>
        <w:lastRenderedPageBreak/>
        <w:t>De verdachte is niet verplicht zijn onschuld te bewijzen, noch bewijsmateriaal aan te voeren dat in zijn nadeel spreekt (art. 74, lid 1). Hij is echter wel verplicht zich te onderwerpen aan:</w:t>
      </w:r>
    </w:p>
    <w:p w14:paraId="617AAD1A" w14:textId="77777777" w:rsidR="0081381F" w:rsidRPr="00455DB2" w:rsidRDefault="006C1DF8" w:rsidP="0081381F">
      <w:p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hAnsi="Times New Roman" w:cs="Times New Roman"/>
          <w:color w:val="000000"/>
          <w:sz w:val="20"/>
          <w:szCs w:val="20"/>
          <w:lang w:val="nl-NL" w:eastAsia="x-none"/>
        </w:rPr>
      </w:pPr>
      <w:r w:rsidRPr="00455DB2">
        <w:rPr>
          <w:rFonts w:ascii="Times New Roman" w:hAnsi="Times New Roman" w:cs="Times New Roman"/>
          <w:color w:val="000000"/>
          <w:sz w:val="20"/>
          <w:szCs w:val="20"/>
          <w:lang w:val="nl-NL" w:eastAsia="x-none"/>
        </w:rPr>
        <w:t>1)  </w:t>
      </w:r>
      <w:r w:rsidR="0081381F" w:rsidRPr="00455DB2">
        <w:rPr>
          <w:rFonts w:ascii="Times New Roman" w:hAnsi="Times New Roman" w:cs="Times New Roman"/>
          <w:color w:val="000000"/>
          <w:sz w:val="20"/>
          <w:szCs w:val="20"/>
          <w:lang w:val="nl-NL" w:eastAsia="x-none"/>
        </w:rPr>
        <w:t>lichamelijk onderzoek en onderzoeken zonder lichamelijke ingrepen, het nemen van vingerafdrukken, het maken van foto’s en het tonen aan anderen (art. 74, § 2, punt 1);</w:t>
      </w:r>
    </w:p>
    <w:p w14:paraId="500CBF58" w14:textId="39CF8A61" w:rsidR="0081381F" w:rsidRPr="00455DB2" w:rsidRDefault="006C1DF8" w:rsidP="0081381F">
      <w:p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color w:val="000000"/>
          <w:sz w:val="20"/>
          <w:szCs w:val="20"/>
          <w:lang w:val="nl-NL" w:eastAsia="x-none"/>
        </w:rPr>
      </w:pPr>
      <w:r w:rsidRPr="00455DB2">
        <w:rPr>
          <w:rFonts w:ascii="Times New Roman" w:eastAsia="Times New Roman" w:hAnsi="Times New Roman" w:cs="Times New Roman"/>
          <w:color w:val="000000"/>
          <w:sz w:val="20"/>
          <w:szCs w:val="20"/>
          <w:lang w:val="nl-NL" w:eastAsia="x-none"/>
        </w:rPr>
        <w:t>2)  </w:t>
      </w:r>
      <w:r w:rsidR="0081381F" w:rsidRPr="00455DB2">
        <w:rPr>
          <w:rFonts w:ascii="Times New Roman" w:eastAsia="Times New Roman" w:hAnsi="Times New Roman" w:cs="Times New Roman"/>
          <w:color w:val="000000"/>
          <w:sz w:val="20"/>
          <w:szCs w:val="20"/>
          <w:lang w:val="nl-NL" w:eastAsia="x-none"/>
        </w:rPr>
        <w:t>psychologische en psychiatrische onderzoeken, alsmede onderzoeken waarbij ingrepen aan het lichaam worden verricht</w:t>
      </w:r>
      <w:r w:rsidR="00455DB2">
        <w:rPr>
          <w:rFonts w:ascii="Times New Roman" w:eastAsia="Times New Roman" w:hAnsi="Times New Roman" w:cs="Times New Roman"/>
          <w:color w:val="000000"/>
          <w:sz w:val="20"/>
          <w:szCs w:val="20"/>
          <w:lang w:val="nl-NL" w:eastAsia="x-none"/>
        </w:rPr>
        <w:t>,</w:t>
      </w:r>
      <w:r w:rsidR="0081381F" w:rsidRPr="00455DB2">
        <w:rPr>
          <w:rFonts w:ascii="Times New Roman" w:eastAsia="Times New Roman" w:hAnsi="Times New Roman" w:cs="Times New Roman"/>
          <w:color w:val="000000"/>
          <w:sz w:val="20"/>
          <w:szCs w:val="20"/>
          <w:lang w:val="nl-NL" w:eastAsia="x-none"/>
        </w:rPr>
        <w:t xml:space="preserve"> met uitzondering van chirurgische ingrepen, op voorwaarde dat dit geen gevaar voor de gezondheid oplevert, indien het uitvoeren van deze onderzoeken noodzakelijk is (met name het afnemen van bloed, haren of lichaamsafscheidingen, zoals speeksel); de onderzoeken moeten worden uitgevoerd door een daartoe bevoegde gezondheidswerker (art. 74 § 2, punt 2);</w:t>
      </w:r>
    </w:p>
    <w:p w14:paraId="14157761" w14:textId="77777777" w:rsidR="0081381F" w:rsidRPr="00455DB2" w:rsidRDefault="0081381F" w:rsidP="0081381F">
      <w:p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color w:val="000000"/>
          <w:sz w:val="20"/>
          <w:szCs w:val="20"/>
          <w:lang w:val="nl-NL" w:eastAsia="x-none"/>
        </w:rPr>
      </w:pPr>
      <w:r w:rsidRPr="00455DB2">
        <w:rPr>
          <w:rFonts w:ascii="Times New Roman" w:eastAsia="Times New Roman" w:hAnsi="Times New Roman" w:cs="Times New Roman"/>
          <w:color w:val="000000"/>
          <w:sz w:val="20"/>
          <w:szCs w:val="20"/>
          <w:lang w:val="nl-NL" w:eastAsia="x-none"/>
        </w:rPr>
        <w:t>3)  het afnemen door een politieagent van een uitstrijkje van het slijmvlies van de wangen, voor zover dit noodzakelijk is en geen gevaar voor de gezondheid oplevert (art. 74 § 2, punt 3).</w:t>
      </w:r>
    </w:p>
    <w:p w14:paraId="69B03CAA" w14:textId="77777777" w:rsidR="0081381F" w:rsidRPr="00455DB2" w:rsidRDefault="0081381F" w:rsidP="0081381F">
      <w:p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color w:val="000000"/>
          <w:sz w:val="20"/>
          <w:szCs w:val="20"/>
          <w:lang w:val="nl-NL" w:eastAsia="x-none"/>
        </w:rPr>
      </w:pPr>
      <w:r w:rsidRPr="00455DB2">
        <w:rPr>
          <w:rFonts w:ascii="Times New Roman" w:eastAsia="Times New Roman" w:hAnsi="Times New Roman" w:cs="Times New Roman"/>
          <w:color w:val="000000"/>
          <w:sz w:val="20"/>
          <w:szCs w:val="20"/>
          <w:lang w:val="nl-NL" w:eastAsia="x-none"/>
        </w:rPr>
        <w:t>Het niet nakomen van deze verplichtingen kan leiden tot aanhouding en gedwongen overbrenging van de verdachte, alsmede tot het gebruik van fysiek geweld of technische middelen ter overmeestering, voor zover dit noodzakelijk is (art. 74 § 3a).</w:t>
      </w:r>
    </w:p>
    <w:p w14:paraId="020C4875" w14:textId="77777777" w:rsidR="00F13A07" w:rsidRPr="00455DB2" w:rsidRDefault="0081381F" w:rsidP="00F13A07">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nl-NL" w:eastAsia="x-none"/>
        </w:rPr>
      </w:pPr>
      <w:r w:rsidRPr="00455DB2">
        <w:rPr>
          <w:rFonts w:ascii="Times New Roman" w:hAnsi="Times New Roman" w:cs="Times New Roman"/>
          <w:b/>
          <w:bCs/>
          <w:color w:val="000000"/>
          <w:sz w:val="20"/>
          <w:szCs w:val="20"/>
          <w:lang w:val="nl-NL" w:eastAsia="x-none"/>
        </w:rPr>
        <w:t>De verdachte is tevens verplicht:</w:t>
      </w:r>
    </w:p>
    <w:p w14:paraId="6F8AF6F2" w14:textId="46ECE3DE" w:rsidR="0081381F" w:rsidRPr="00455DB2" w:rsidRDefault="00F13A07" w:rsidP="00F13A07">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nl-NL" w:eastAsia="x-none"/>
        </w:rPr>
      </w:pPr>
      <w:r w:rsidRPr="00455DB2">
        <w:rPr>
          <w:rFonts w:ascii="Times New Roman" w:hAnsi="Times New Roman" w:cs="Times New Roman"/>
          <w:color w:val="000000"/>
          <w:sz w:val="20"/>
          <w:szCs w:val="20"/>
          <w:lang w:val="nl-NL" w:eastAsia="x-none"/>
        </w:rPr>
        <w:t>1)</w:t>
      </w:r>
      <w:r w:rsidR="0081381F" w:rsidRPr="00455DB2">
        <w:rPr>
          <w:rFonts w:ascii="Times New Roman" w:hAnsi="Times New Roman" w:cs="Times New Roman"/>
          <w:color w:val="000000"/>
          <w:sz w:val="20"/>
          <w:szCs w:val="20"/>
          <w:lang w:val="nl-NL" w:eastAsia="x-none"/>
        </w:rPr>
        <w:t>zich bij elke dagvaarding te melden en de rechtbank in kennis te stellen van elke verandering van woonplaats of verblijfplaats die langer dan 7 dagen duurt, ook indien dit het gevolg is van een vrijheidsbeneming in een andere zaak; bij niet-verschijning kan de verdachte worden aangehouden en gedwongen worden voorgeleid (art. 75, § 1 en § 2);</w:t>
      </w:r>
    </w:p>
    <w:p w14:paraId="7CDB3CAD" w14:textId="77777777" w:rsidR="00F13A07" w:rsidRPr="00455DB2" w:rsidRDefault="00F13A07" w:rsidP="00F13A07">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nl-NL" w:eastAsia="x-none"/>
        </w:rPr>
      </w:pPr>
      <w:r w:rsidRPr="00455DB2">
        <w:rPr>
          <w:rFonts w:ascii="Times New Roman" w:eastAsia="Times New Roman" w:hAnsi="Times New Roman" w:cs="Times New Roman"/>
          <w:color w:val="000000"/>
          <w:sz w:val="20"/>
          <w:szCs w:val="20"/>
          <w:lang w:val="nl-NL" w:eastAsia="x-none"/>
        </w:rPr>
        <w:t>2)           het adres opgeven waarnaar de correspondentie zal worden verzonden; dit mag ook een postbusadres zijn (art. 132, lid 1 en lid 2); anders zal de handeling of de zitting plaatsvinden in afwezigheid van de verdachte; het niet opgeven van een adres kan ook het indienen van een verzoek, een klacht of een beroep onmogelijk maken                       vanwege het verstrijken van de termijnen (art. 133 § 2);</w:t>
      </w:r>
    </w:p>
    <w:p w14:paraId="6FFF337F" w14:textId="77777777" w:rsidR="00386B2E" w:rsidRPr="00455DB2" w:rsidRDefault="00F13A07" w:rsidP="00386B2E">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hAnsi="Times New Roman" w:cs="Times New Roman"/>
          <w:color w:val="000000"/>
          <w:sz w:val="20"/>
          <w:szCs w:val="20"/>
          <w:lang w:val="nl-NL" w:eastAsia="x-none"/>
        </w:rPr>
      </w:pPr>
      <w:r w:rsidRPr="00455DB2">
        <w:rPr>
          <w:rFonts w:ascii="Times New Roman" w:eastAsia="Times New Roman" w:hAnsi="Times New Roman" w:cs="Times New Roman"/>
          <w:color w:val="000000"/>
          <w:sz w:val="20"/>
          <w:szCs w:val="20"/>
          <w:lang w:val="nl-NL" w:eastAsia="x-none"/>
        </w:rPr>
        <w:t>3) een adres voor betekening of kennisgeving in het land of in een andere lidstaat van de Europese Unie opgeven, wanneer hij zich niet in het land of in een andere lidstaat van de Europese Unie bevindt; anders wordt een brief die naar het laatst bekende adres in het land of in een andere lidstaat van de Europese Unie is verzonden, beschouwd   als rechtsgeldig betekend, en zal de handeling of de zitting plaatsvinden in afwezigheid van de verdachte; het niet opgeven van een adres kan ook het indienen van een verzoek, een klacht of een beroep onmogelijk maken vanwege het verstrijken van de termijnen (art. 138);</w:t>
      </w:r>
    </w:p>
    <w:p w14:paraId="7C797F45" w14:textId="77777777" w:rsidR="00386B2E" w:rsidRPr="00455DB2" w:rsidRDefault="00386B2E" w:rsidP="00386B2E">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nl-NL" w:eastAsia="x-none"/>
        </w:rPr>
      </w:pPr>
      <w:r w:rsidRPr="00455DB2">
        <w:rPr>
          <w:rFonts w:ascii="Times New Roman" w:eastAsia="Times New Roman" w:hAnsi="Times New Roman" w:cs="Times New Roman"/>
          <w:color w:val="000000"/>
          <w:sz w:val="20"/>
          <w:szCs w:val="20"/>
          <w:lang w:val="nl-NL" w:eastAsia="x-none"/>
        </w:rPr>
        <w:t>4) een nieuw adres doorgeven in geval van een verandering van woon- of verblijfplaats, ook indien dit het gevolg is van een vrijheidsbeneming in een andere zaak; anders wordt een brief die naar het oude adres is verzonden, beschouwd als rechtsgeldig betekend, en zal de handeling of zitting plaatsvinden in afwezigheid van de verdachte; het niet opgeven van een adres kan er ook toe leiden dat het indienen van een verzoek, een bezwaarschrift of een beroep onmogelijk wordt vanwege het verstrijken van de termijnen; dit geldt ook voor de verdachte die een verzoek heeft ingediend om de stukken te laten bezorgen op een opgegeven postbus en de instantie niet op de hoogte heeft gesteld van de wijziging van dit adres of het niet langer gebruiken ervan (art. 139).</w:t>
      </w:r>
    </w:p>
    <w:p w14:paraId="5C1481E9" w14:textId="77777777" w:rsidR="00386B2E" w:rsidRPr="00455DB2" w:rsidRDefault="00386B2E" w:rsidP="00386B2E">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nl-NL" w:eastAsia="x-none"/>
        </w:rPr>
      </w:pPr>
      <w:r w:rsidRPr="00455DB2">
        <w:rPr>
          <w:rFonts w:ascii="Times New Roman" w:eastAsia="Times New Roman" w:hAnsi="Times New Roman" w:cs="Times New Roman"/>
          <w:color w:val="000000"/>
          <w:sz w:val="20"/>
          <w:szCs w:val="20"/>
          <w:lang w:val="nl-NL" w:eastAsia="x-none"/>
        </w:rPr>
        <w:t>De bekendmaking van de beschikking tot vaststelling van de zittingsdata heeft hetzelfde effect als een oproep aan de aanwezige procespartijen om aan de zitting deel te nemen of als een kennisgeving van de zittingsdata (art. 349 § 8).</w:t>
      </w:r>
    </w:p>
    <w:p w14:paraId="59BBC797" w14:textId="19C8ADA0" w:rsidR="006C1DF8" w:rsidRPr="00455DB2" w:rsidRDefault="00386B2E" w:rsidP="00386B2E">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nl-NL" w:eastAsia="x-none"/>
        </w:rPr>
      </w:pPr>
      <w:r w:rsidRPr="00455DB2">
        <w:rPr>
          <w:rFonts w:ascii="Times New Roman" w:eastAsia="Times New Roman" w:hAnsi="Times New Roman" w:cs="Times New Roman"/>
          <w:color w:val="000000"/>
          <w:sz w:val="20"/>
          <w:szCs w:val="20"/>
          <w:lang w:val="nl-NL" w:eastAsia="x-none"/>
        </w:rPr>
        <w:t>Indien de verdachte wordt beschuldigd van het plegen van een strafbaar feit waarvoor of in verband waarmee een boete, een geldelijke prestatie, verbeurdverklaring, compensatiemaatregel, teruggave aan de benadeelde of een andere gerechtigde van het vermogensvoordeel dat de dader met het gepleegde strafbare feit heeft behaald, of de tegenwaarde daarvan, kan ambtshalve beslag worden gelegd op het vermogen van de verdachte of andere in de wet aangewezen personen, indien er een gegronde vrees bestaat dat de tenuitvoerlegging van de uitspraak zonder een dergelijke zekerheid onmogelijk of aanzienlijk bemoeilijkt zal zijn. Om dezelfde redenen kan er ook ambtshalve beslag worden gelegd op het vermogen van de verdachte ter zekerstelling van de tenuitvoerlegging van de uitspraak inzake de proceskosten (art. 291 § 1-3).</w:t>
      </w:r>
    </w:p>
    <w:p w14:paraId="5B27A055" w14:textId="77777777" w:rsidR="006C1DF8" w:rsidRPr="00455DB2"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nl-NL" w:eastAsia="x-none"/>
        </w:rPr>
      </w:pPr>
    </w:p>
    <w:p w14:paraId="1A3EB43F" w14:textId="77777777" w:rsidR="006C1DF8" w:rsidRPr="00455DB2"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nl-NL" w:eastAsia="x-none"/>
        </w:rPr>
      </w:pPr>
    </w:p>
    <w:p w14:paraId="7295A6C8" w14:textId="77777777" w:rsidR="006C1DF8" w:rsidRPr="00455DB2"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nl-NL" w:eastAsia="x-none"/>
        </w:rPr>
      </w:pPr>
    </w:p>
    <w:p w14:paraId="77F34AD2" w14:textId="77777777" w:rsidR="00386B2E" w:rsidRPr="00455DB2" w:rsidRDefault="00386B2E" w:rsidP="00386B2E">
      <w:pPr>
        <w:widowControl w:val="0"/>
        <w:tabs>
          <w:tab w:val="left" w:pos="2834"/>
          <w:tab w:val="left" w:pos="5669"/>
          <w:tab w:val="left" w:pos="8503"/>
          <w:tab w:val="left" w:pos="9350"/>
          <w:tab w:val="left" w:pos="10200"/>
          <w:tab w:val="left" w:pos="11050"/>
          <w:tab w:val="left" w:pos="11900"/>
          <w:tab w:val="left" w:pos="12750"/>
          <w:tab w:val="left" w:pos="13600"/>
          <w:tab w:val="left" w:pos="14450"/>
          <w:tab w:val="left" w:pos="15300"/>
          <w:tab w:val="left" w:pos="16150"/>
          <w:tab w:val="left" w:pos="17000"/>
          <w:tab w:val="left" w:pos="17850"/>
        </w:tabs>
        <w:autoSpaceDE w:val="0"/>
        <w:autoSpaceDN w:val="0"/>
        <w:adjustRightInd w:val="0"/>
        <w:spacing w:after="0" w:line="240" w:lineRule="auto"/>
        <w:jc w:val="both"/>
        <w:rPr>
          <w:rFonts w:ascii="Times New Roman" w:hAnsi="Times New Roman" w:cs="Times New Roman"/>
          <w:sz w:val="16"/>
          <w:szCs w:val="16"/>
          <w:lang w:val="nl-NL" w:eastAsia="x-none"/>
        </w:rPr>
      </w:pPr>
      <w:r w:rsidRPr="00455DB2">
        <w:rPr>
          <w:rFonts w:ascii="Times New Roman" w:hAnsi="Times New Roman" w:cs="Times New Roman"/>
          <w:sz w:val="16"/>
          <w:szCs w:val="16"/>
          <w:lang w:val="nl-NL" w:eastAsia="x-none"/>
        </w:rPr>
        <w:t>1)  kies hier de juiste formulering;</w:t>
      </w:r>
    </w:p>
    <w:p w14:paraId="4B7E7D4E" w14:textId="4B8A49BF" w:rsidR="006C1DF8" w:rsidRPr="00455DB2" w:rsidRDefault="00386B2E" w:rsidP="00386B2E">
      <w:pPr>
        <w:widowControl w:val="0"/>
        <w:tabs>
          <w:tab w:val="left" w:pos="2834"/>
          <w:tab w:val="left" w:pos="5669"/>
          <w:tab w:val="left" w:pos="8503"/>
          <w:tab w:val="left" w:pos="9350"/>
          <w:tab w:val="left" w:pos="10200"/>
          <w:tab w:val="left" w:pos="11050"/>
          <w:tab w:val="left" w:pos="11900"/>
          <w:tab w:val="left" w:pos="12750"/>
          <w:tab w:val="left" w:pos="13600"/>
          <w:tab w:val="left" w:pos="14450"/>
          <w:tab w:val="left" w:pos="15300"/>
          <w:tab w:val="left" w:pos="16150"/>
          <w:tab w:val="left" w:pos="17000"/>
          <w:tab w:val="left" w:pos="17850"/>
        </w:tabs>
        <w:autoSpaceDE w:val="0"/>
        <w:autoSpaceDN w:val="0"/>
        <w:adjustRightInd w:val="0"/>
        <w:spacing w:after="0" w:line="240" w:lineRule="auto"/>
        <w:jc w:val="both"/>
        <w:rPr>
          <w:rFonts w:ascii="Times New Roman" w:hAnsi="Times New Roman" w:cs="Times New Roman"/>
          <w:color w:val="000000"/>
          <w:sz w:val="16"/>
          <w:szCs w:val="16"/>
          <w:lang w:val="nl-NL" w:eastAsia="x-none"/>
        </w:rPr>
      </w:pPr>
      <w:r w:rsidRPr="00455DB2">
        <w:rPr>
          <w:rFonts w:ascii="Times New Roman" w:hAnsi="Times New Roman" w:cs="Times New Roman"/>
          <w:sz w:val="16"/>
          <w:szCs w:val="16"/>
          <w:lang w:val="nl-NL" w:eastAsia="x-none"/>
        </w:rPr>
        <w:t>2)  tenzij anders aangegeven, verwijzen de bepalingen tussen haakjes naar de desbetreffende artikelen van de wet van 6 juni 1997 – Wetboek van Strafvordering (Staatsblad van 2018, nr. 1987, met latere wijzigingen).</w:t>
      </w:r>
    </w:p>
    <w:p w14:paraId="195DF4DC" w14:textId="4E9A0502" w:rsidR="00B376B7" w:rsidRPr="00455DB2" w:rsidRDefault="006C1DF8" w:rsidP="00AB4615">
      <w:pPr>
        <w:pStyle w:val="Normal"/>
        <w:tabs>
          <w:tab w:val="left" w:pos="2834"/>
          <w:tab w:val="left" w:pos="5669"/>
          <w:tab w:val="left" w:pos="8503"/>
          <w:tab w:val="left" w:pos="9350"/>
          <w:tab w:val="left" w:pos="10200"/>
          <w:tab w:val="left" w:pos="11050"/>
          <w:tab w:val="left" w:pos="11900"/>
          <w:tab w:val="left" w:pos="12750"/>
          <w:tab w:val="left" w:pos="13600"/>
          <w:tab w:val="left" w:pos="14450"/>
          <w:tab w:val="left" w:pos="15300"/>
          <w:tab w:val="left" w:pos="16150"/>
          <w:tab w:val="left" w:pos="17000"/>
          <w:tab w:val="left" w:pos="17850"/>
        </w:tabs>
        <w:jc w:val="both"/>
        <w:rPr>
          <w:rFonts w:ascii="Times New Roman" w:hAnsi="Times New Roman" w:cs="Times New Roman"/>
          <w:lang w:val="nl-NL" w:eastAsia="x-none"/>
        </w:rPr>
      </w:pPr>
      <w:r w:rsidRPr="00455DB2">
        <w:rPr>
          <w:rFonts w:ascii="Times New Roman" w:hAnsi="Times New Roman" w:cs="Times New Roman"/>
          <w:color w:val="000000"/>
          <w:lang w:val="nl-NL" w:eastAsia="x-none"/>
        </w:rPr>
        <w:fldChar w:fldCharType="begin"/>
      </w:r>
      <w:r w:rsidRPr="00455DB2">
        <w:rPr>
          <w:rFonts w:ascii="Times New Roman" w:hAnsi="Times New Roman" w:cs="Times New Roman"/>
          <w:color w:val="000000"/>
          <w:lang w:val="nl-NL" w:eastAsia="x-none"/>
        </w:rPr>
        <w:instrText xml:space="preserve"> {KONIEC} </w:instrText>
      </w:r>
      <w:r w:rsidRPr="00455DB2">
        <w:rPr>
          <w:rFonts w:ascii="Times New Roman" w:hAnsi="Times New Roman" w:cs="Times New Roman"/>
          <w:color w:val="000000"/>
          <w:lang w:val="nl-NL" w:eastAsia="x-none"/>
        </w:rPr>
        <w:fldChar w:fldCharType="separate"/>
      </w:r>
      <w:r w:rsidRPr="00455DB2">
        <w:rPr>
          <w:rFonts w:ascii="Times New Roman" w:hAnsi="Times New Roman" w:cs="Times New Roman"/>
          <w:color w:val="000000"/>
          <w:lang w:val="nl-NL" w:eastAsia="x-none"/>
        </w:rPr>
        <w:t xml:space="preserve"> </w:t>
      </w:r>
      <w:r w:rsidRPr="00455DB2">
        <w:rPr>
          <w:rFonts w:ascii="Times New Roman" w:hAnsi="Times New Roman" w:cs="Times New Roman"/>
          <w:color w:val="000000"/>
          <w:lang w:val="nl-NL" w:eastAsia="x-none"/>
        </w:rPr>
        <w:fldChar w:fldCharType="end"/>
      </w:r>
    </w:p>
    <w:sectPr w:rsidR="00B376B7" w:rsidRPr="00455DB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A2BD5" w14:textId="77777777" w:rsidR="006B0E79" w:rsidRDefault="006B0E79" w:rsidP="006B0E79">
      <w:pPr>
        <w:spacing w:after="0" w:line="240" w:lineRule="auto"/>
      </w:pPr>
      <w:r>
        <w:separator/>
      </w:r>
    </w:p>
  </w:endnote>
  <w:endnote w:type="continuationSeparator" w:id="0">
    <w:p w14:paraId="2F4E1ACC" w14:textId="77777777" w:rsidR="006B0E79" w:rsidRDefault="006B0E79" w:rsidP="006B0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EA85D" w14:textId="77777777" w:rsidR="006B0E79" w:rsidRDefault="006B0E79" w:rsidP="006B0E79">
      <w:pPr>
        <w:spacing w:after="0" w:line="240" w:lineRule="auto"/>
      </w:pPr>
      <w:r>
        <w:separator/>
      </w:r>
    </w:p>
  </w:footnote>
  <w:footnote w:type="continuationSeparator" w:id="0">
    <w:p w14:paraId="2904091C" w14:textId="77777777" w:rsidR="006B0E79" w:rsidRDefault="006B0E79" w:rsidP="006B0E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abstractNum>
  <w:abstractNum w:abstractNumId="1" w15:restartNumberingAfterBreak="0">
    <w:nsid w:val="00000002"/>
    <w:multiLevelType w:val="multilevel"/>
    <w:tmpl w:val="00000002"/>
    <w:lvl w:ilvl="0">
      <w:start w:val="1"/>
      <w:numFmt w:val="decimal"/>
      <w:lvlText w:val="%1)"/>
      <w:lvlJc w:val="left"/>
      <w:pPr>
        <w:ind w:left="5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1">
      <w:start w:val="1"/>
      <w:numFmt w:val="decimal"/>
      <w:lvlText w:val="%2)"/>
      <w:lvlJc w:val="left"/>
      <w:pPr>
        <w:ind w:left="9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2">
      <w:start w:val="1"/>
      <w:numFmt w:val="decimal"/>
      <w:lvlText w:val="%3)"/>
      <w:lvlJc w:val="left"/>
      <w:pPr>
        <w:ind w:left="12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3">
      <w:start w:val="1"/>
      <w:numFmt w:val="decimal"/>
      <w:lvlText w:val="%4)"/>
      <w:lvlJc w:val="left"/>
      <w:pPr>
        <w:ind w:left="16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4">
      <w:start w:val="1"/>
      <w:numFmt w:val="decimal"/>
      <w:lvlText w:val="%5)"/>
      <w:lvlJc w:val="left"/>
      <w:pPr>
        <w:ind w:left="200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5">
      <w:start w:val="1"/>
      <w:numFmt w:val="decimal"/>
      <w:lvlText w:val="%6)"/>
      <w:lvlJc w:val="left"/>
      <w:pPr>
        <w:ind w:left="23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6">
      <w:start w:val="1"/>
      <w:numFmt w:val="decimal"/>
      <w:lvlText w:val="%7)"/>
      <w:lvlJc w:val="left"/>
      <w:pPr>
        <w:ind w:left="27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7">
      <w:start w:val="1"/>
      <w:numFmt w:val="decimal"/>
      <w:lvlText w:val="%8)"/>
      <w:lvlJc w:val="left"/>
      <w:pPr>
        <w:ind w:left="30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8">
      <w:start w:val="1"/>
      <w:numFmt w:val="decimal"/>
      <w:lvlText w:val="%9)"/>
      <w:lvlJc w:val="left"/>
      <w:pPr>
        <w:ind w:left="34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abstractNum>
  <w:abstractNum w:abstractNumId="2" w15:restartNumberingAfterBreak="0">
    <w:nsid w:val="00000003"/>
    <w:multiLevelType w:val="multilevel"/>
    <w:tmpl w:val="A0FA2392"/>
    <w:lvl w:ilvl="0">
      <w:start w:val="1"/>
      <w:numFmt w:val="decimal"/>
      <w:lvlText w:val="%1)"/>
      <w:lvlJc w:val="left"/>
      <w:pPr>
        <w:ind w:left="567" w:hanging="283"/>
      </w:pPr>
      <w:rPr>
        <w:rFonts w:ascii="Times New Roman" w:eastAsiaTheme="minorHAnsi" w:hAnsi="Times New Roman" w:cs="Times New Roman"/>
        <w:b w:val="0"/>
        <w:bCs w:val="0"/>
        <w:i w:val="0"/>
        <w:iCs w:val="0"/>
        <w:caps w:val="0"/>
        <w:smallCaps w:val="0"/>
        <w:strike w:val="0"/>
        <w:color w:val="000000"/>
        <w:spacing w:val="0"/>
        <w:w w:val="100"/>
        <w:position w:val="0"/>
        <w:sz w:val="20"/>
        <w:szCs w:val="20"/>
        <w:u w:val="none"/>
        <w:vertAlign w:val="baseline"/>
      </w:rPr>
    </w:lvl>
    <w:lvl w:ilvl="1">
      <w:start w:val="1"/>
      <w:numFmt w:val="decimal"/>
      <w:lvlText w:val="%2)"/>
      <w:lvlJc w:val="left"/>
      <w:pPr>
        <w:ind w:left="9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2">
      <w:start w:val="1"/>
      <w:numFmt w:val="decimal"/>
      <w:lvlText w:val="%3)"/>
      <w:lvlJc w:val="left"/>
      <w:pPr>
        <w:ind w:left="12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3">
      <w:start w:val="1"/>
      <w:numFmt w:val="decimal"/>
      <w:lvlText w:val="%4)"/>
      <w:lvlJc w:val="left"/>
      <w:pPr>
        <w:ind w:left="16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4">
      <w:start w:val="1"/>
      <w:numFmt w:val="decimal"/>
      <w:lvlText w:val="%5)"/>
      <w:lvlJc w:val="left"/>
      <w:pPr>
        <w:ind w:left="200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5">
      <w:start w:val="1"/>
      <w:numFmt w:val="decimal"/>
      <w:lvlText w:val="%6)"/>
      <w:lvlJc w:val="left"/>
      <w:pPr>
        <w:ind w:left="23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6">
      <w:start w:val="1"/>
      <w:numFmt w:val="decimal"/>
      <w:lvlText w:val="%7)"/>
      <w:lvlJc w:val="left"/>
      <w:pPr>
        <w:ind w:left="27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7">
      <w:start w:val="1"/>
      <w:numFmt w:val="decimal"/>
      <w:lvlText w:val="%8)"/>
      <w:lvlJc w:val="left"/>
      <w:pPr>
        <w:ind w:left="30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8">
      <w:start w:val="1"/>
      <w:numFmt w:val="decimal"/>
      <w:lvlText w:val="%9)"/>
      <w:lvlJc w:val="left"/>
      <w:pPr>
        <w:ind w:left="34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abstractNum>
  <w:abstractNum w:abstractNumId="3" w15:restartNumberingAfterBreak="0">
    <w:nsid w:val="00000004"/>
    <w:multiLevelType w:val="multilevel"/>
    <w:tmpl w:val="00000004"/>
    <w:lvl w:ilvl="0">
      <w:start w:val="1"/>
      <w:numFmt w:val="decimal"/>
      <w:lvlText w:val="%1)"/>
      <w:lvlJc w:val="left"/>
      <w:pPr>
        <w:ind w:left="14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1">
      <w:start w:val="1"/>
      <w:numFmt w:val="decimal"/>
      <w:lvlText w:val="%2)"/>
      <w:lvlJc w:val="left"/>
      <w:pPr>
        <w:ind w:left="50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2">
      <w:start w:val="1"/>
      <w:numFmt w:val="decimal"/>
      <w:lvlText w:val="%3)"/>
      <w:lvlJc w:val="left"/>
      <w:pPr>
        <w:ind w:left="86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3">
      <w:start w:val="1"/>
      <w:numFmt w:val="decimal"/>
      <w:lvlText w:val="%4)"/>
      <w:lvlJc w:val="left"/>
      <w:pPr>
        <w:ind w:left="122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4">
      <w:start w:val="1"/>
      <w:numFmt w:val="decimal"/>
      <w:lvlText w:val="%5)"/>
      <w:lvlJc w:val="left"/>
      <w:pPr>
        <w:ind w:left="158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5">
      <w:start w:val="1"/>
      <w:numFmt w:val="decimal"/>
      <w:lvlText w:val="%6)"/>
      <w:lvlJc w:val="left"/>
      <w:pPr>
        <w:ind w:left="194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6">
      <w:start w:val="1"/>
      <w:numFmt w:val="decimal"/>
      <w:lvlText w:val="%7)"/>
      <w:lvlJc w:val="left"/>
      <w:pPr>
        <w:ind w:left="230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7">
      <w:start w:val="1"/>
      <w:numFmt w:val="decimal"/>
      <w:lvlText w:val="%8)"/>
      <w:lvlJc w:val="left"/>
      <w:pPr>
        <w:ind w:left="266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8">
      <w:start w:val="1"/>
      <w:numFmt w:val="decimal"/>
      <w:lvlText w:val="%9)"/>
      <w:lvlJc w:val="left"/>
      <w:pPr>
        <w:ind w:left="302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abstractNum>
  <w:num w:numId="1" w16cid:durableId="1532912847">
    <w:abstractNumId w:val="0"/>
  </w:num>
  <w:num w:numId="2" w16cid:durableId="1586719471">
    <w:abstractNumId w:val="0"/>
    <w:lvlOverride w:ilvl="0">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Override>
    <w:lvlOverride w:ilvl="1">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2">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3">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4">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5">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6">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7">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8">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num>
  <w:num w:numId="3" w16cid:durableId="1008827774">
    <w:abstractNumId w:val="0"/>
    <w:lvlOverride w:ilvl="0">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1">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2">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3">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4">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5">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6">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7">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8">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num>
  <w:num w:numId="4" w16cid:durableId="478038729">
    <w:abstractNumId w:val="1"/>
  </w:num>
  <w:num w:numId="5" w16cid:durableId="278338282">
    <w:abstractNumId w:val="2"/>
  </w:num>
  <w:num w:numId="6" w16cid:durableId="18540258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616E0"/>
    <w:rsid w:val="00196347"/>
    <w:rsid w:val="001D212C"/>
    <w:rsid w:val="003447DC"/>
    <w:rsid w:val="00386B2E"/>
    <w:rsid w:val="00455DB2"/>
    <w:rsid w:val="004652CD"/>
    <w:rsid w:val="00541687"/>
    <w:rsid w:val="005467E7"/>
    <w:rsid w:val="00584D6E"/>
    <w:rsid w:val="00645F70"/>
    <w:rsid w:val="006B0E79"/>
    <w:rsid w:val="006C1DF8"/>
    <w:rsid w:val="0074625F"/>
    <w:rsid w:val="0081381F"/>
    <w:rsid w:val="00842077"/>
    <w:rsid w:val="008616E0"/>
    <w:rsid w:val="0091565F"/>
    <w:rsid w:val="00935512"/>
    <w:rsid w:val="00AB4615"/>
    <w:rsid w:val="00B129EE"/>
    <w:rsid w:val="00B376B7"/>
    <w:rsid w:val="00CE4A7A"/>
    <w:rsid w:val="00F13A07"/>
    <w:rsid w:val="00F52772"/>
    <w:rsid w:val="00FB67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955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uiPriority w:val="99"/>
    <w:rsid w:val="00541687"/>
    <w:pPr>
      <w:widowControl w:val="0"/>
      <w:autoSpaceDE w:val="0"/>
      <w:autoSpaceDN w:val="0"/>
      <w:adjustRightInd w:val="0"/>
      <w:spacing w:after="0" w:line="240" w:lineRule="auto"/>
    </w:pPr>
    <w:rPr>
      <w:rFonts w:ascii="Arial" w:hAnsi="Arial" w:cs="Arial"/>
      <w:sz w:val="24"/>
      <w:szCs w:val="24"/>
      <w:lang w:eastAsia="pl-PL"/>
    </w:rPr>
  </w:style>
  <w:style w:type="paragraph" w:customStyle="1" w:styleId="BODY">
    <w:name w:val="BODY"/>
    <w:basedOn w:val="Normal"/>
    <w:uiPriority w:val="99"/>
    <w:rsid w:val="00541687"/>
    <w:pPr>
      <w:spacing w:before="134" w:after="134"/>
    </w:pPr>
    <w:rPr>
      <w:lang w:val="x-none" w:eastAsia="x-none"/>
    </w:rPr>
  </w:style>
  <w:style w:type="character" w:customStyle="1" w:styleId="s17">
    <w:name w:val="s17"/>
    <w:basedOn w:val="Domylnaczcionkaakapitu"/>
    <w:uiPriority w:val="99"/>
    <w:rsid w:val="006C1DF8"/>
    <w:rPr>
      <w:strike/>
      <w:lang w:eastAsia="x-none"/>
    </w:rPr>
  </w:style>
  <w:style w:type="character" w:customStyle="1" w:styleId="txt-new1">
    <w:name w:val="txt-new1"/>
    <w:basedOn w:val="Domylnaczcionkaakapitu"/>
    <w:uiPriority w:val="99"/>
    <w:rsid w:val="006C1DF8"/>
    <w:rPr>
      <w:lang w:eastAsia="x-none"/>
    </w:rPr>
  </w:style>
  <w:style w:type="character" w:customStyle="1" w:styleId="tabulatory1">
    <w:name w:val="tabulatory1"/>
    <w:basedOn w:val="Domylnaczcionkaakapitu"/>
    <w:uiPriority w:val="99"/>
    <w:rsid w:val="006C1DF8"/>
    <w:rPr>
      <w:lang w:eastAsia="x-none"/>
    </w:rPr>
  </w:style>
  <w:style w:type="character" w:customStyle="1" w:styleId="txt-new2">
    <w:name w:val="txt-new2"/>
    <w:basedOn w:val="Domylnaczcionkaakapitu"/>
    <w:uiPriority w:val="99"/>
    <w:rsid w:val="006C1DF8"/>
    <w:rPr>
      <w:lang w:eastAsia="x-none"/>
    </w:rPr>
  </w:style>
  <w:style w:type="character" w:customStyle="1" w:styleId="txt-new3">
    <w:name w:val="txt-new3"/>
    <w:basedOn w:val="Domylnaczcionkaakapitu"/>
    <w:uiPriority w:val="99"/>
    <w:rsid w:val="006C1DF8"/>
    <w:rPr>
      <w:lang w:eastAsia="x-none"/>
    </w:rPr>
  </w:style>
  <w:style w:type="character" w:customStyle="1" w:styleId="txt-new4">
    <w:name w:val="txt-new4"/>
    <w:basedOn w:val="Domylnaczcionkaakapitu"/>
    <w:uiPriority w:val="99"/>
    <w:rsid w:val="006C1DF8"/>
    <w:rPr>
      <w:lang w:eastAsia="x-none"/>
    </w:rPr>
  </w:style>
  <w:style w:type="character" w:customStyle="1" w:styleId="txt-new6">
    <w:name w:val="txt-new6"/>
    <w:basedOn w:val="Domylnaczcionkaakapitu"/>
    <w:uiPriority w:val="99"/>
    <w:rsid w:val="006C1DF8"/>
    <w:rPr>
      <w:lang w:eastAsia="x-none"/>
    </w:rPr>
  </w:style>
  <w:style w:type="character" w:customStyle="1" w:styleId="FontStyle15">
    <w:name w:val="Font Style15"/>
    <w:basedOn w:val="Domylnaczcionkaakapitu"/>
    <w:uiPriority w:val="99"/>
    <w:rsid w:val="006C1DF8"/>
    <w:rPr>
      <w:rFonts w:cs="Franklin Gothic Medium"/>
      <w:b/>
      <w:bCs/>
      <w:sz w:val="12"/>
      <w:szCs w:val="12"/>
      <w:lang w:eastAsia="x-none"/>
    </w:rPr>
  </w:style>
  <w:style w:type="paragraph" w:styleId="Akapitzlist">
    <w:name w:val="List Paragraph"/>
    <w:basedOn w:val="Normalny"/>
    <w:uiPriority w:val="34"/>
    <w:qFormat/>
    <w:rsid w:val="00F13A07"/>
    <w:pPr>
      <w:ind w:left="720"/>
      <w:contextualSpacing/>
    </w:pPr>
  </w:style>
  <w:style w:type="paragraph" w:styleId="Nagwek">
    <w:name w:val="header"/>
    <w:basedOn w:val="Normalny"/>
    <w:link w:val="NagwekZnak"/>
    <w:uiPriority w:val="99"/>
    <w:unhideWhenUsed/>
    <w:rsid w:val="006B0E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B0E79"/>
  </w:style>
  <w:style w:type="paragraph" w:styleId="Stopka">
    <w:name w:val="footer"/>
    <w:basedOn w:val="Normalny"/>
    <w:link w:val="StopkaZnak"/>
    <w:uiPriority w:val="99"/>
    <w:unhideWhenUsed/>
    <w:rsid w:val="006B0E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B0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2645</Words>
  <Characters>13906</Characters>
  <Application>Microsoft Office Word</Application>
  <DocSecurity>0</DocSecurity>
  <Lines>176</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2026-03-19T12:51:00Z</dcterms:created>
  <dcterms:modified xsi:type="dcterms:W3CDTF">2026-03-19T12:52:00Z</dcterms:modified>
</cp:coreProperties>
</file>